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718FB" w14:textId="77777777" w:rsidR="003076B6" w:rsidRPr="004D3BB2" w:rsidRDefault="003076B6" w:rsidP="003076B6">
      <w:pPr>
        <w:rPr>
          <w:rFonts w:ascii="Arial" w:hAnsi="Arial" w:cs="Arial"/>
          <w:sz w:val="24"/>
          <w:szCs w:val="24"/>
        </w:rPr>
      </w:pPr>
      <w:r w:rsidRPr="004D3BB2">
        <w:rPr>
          <w:rFonts w:ascii="Arial" w:hAnsi="Arial" w:cs="Arial"/>
          <w:sz w:val="24"/>
          <w:szCs w:val="24"/>
        </w:rPr>
        <w:t>APPOINTMENT OF A SERVICE PROVIDER TO CONDUCT RESEARCH STUDY TO DETERMINE WAYS OF OPTIMISING HOUSING DELIVERY TO ADDRESS THE AFFORDABLE HOUSING BACKLOG IN SOUTH AFRICA</w:t>
      </w:r>
    </w:p>
    <w:p w14:paraId="6E0F90D0" w14:textId="77777777" w:rsidR="0086101E" w:rsidRDefault="0086101E"/>
    <w:tbl>
      <w:tblPr>
        <w:tblStyle w:val="TableGrid"/>
        <w:tblW w:w="14454" w:type="dxa"/>
        <w:tblLook w:val="04A0" w:firstRow="1" w:lastRow="0" w:firstColumn="1" w:lastColumn="0" w:noHBand="0" w:noVBand="1"/>
      </w:tblPr>
      <w:tblGrid>
        <w:gridCol w:w="704"/>
        <w:gridCol w:w="6521"/>
        <w:gridCol w:w="7229"/>
      </w:tblGrid>
      <w:tr w:rsidR="00500B0A" w14:paraId="1AF7ABB6" w14:textId="77777777" w:rsidTr="00A229B8">
        <w:trPr>
          <w:trHeight w:val="5120"/>
        </w:trPr>
        <w:tc>
          <w:tcPr>
            <w:tcW w:w="704" w:type="dxa"/>
          </w:tcPr>
          <w:p w14:paraId="3A4E9D77" w14:textId="1B82CD20" w:rsidR="00500B0A" w:rsidRDefault="00500B0A" w:rsidP="00500B0A">
            <w:r>
              <w:t>1</w:t>
            </w:r>
          </w:p>
          <w:p w14:paraId="74FBA21D" w14:textId="77777777" w:rsidR="00500B0A" w:rsidRDefault="00500B0A" w:rsidP="00500B0A"/>
          <w:p w14:paraId="7487221A" w14:textId="77B38F68" w:rsidR="00500B0A" w:rsidRDefault="00500B0A" w:rsidP="00500B0A"/>
          <w:p w14:paraId="7F342B1D" w14:textId="77777777" w:rsidR="00500B0A" w:rsidRDefault="00500B0A" w:rsidP="00500B0A"/>
          <w:p w14:paraId="33D2BBAA" w14:textId="3E918E3B" w:rsidR="00500B0A" w:rsidRDefault="00500B0A" w:rsidP="00500B0A"/>
        </w:tc>
        <w:tc>
          <w:tcPr>
            <w:tcW w:w="6521" w:type="dxa"/>
          </w:tcPr>
          <w:p w14:paraId="3B8CBC97" w14:textId="77777777" w:rsidR="00500B0A" w:rsidRDefault="00500B0A" w:rsidP="00500B0A">
            <w:pPr>
              <w:rPr>
                <w:rFonts w:ascii="Arial" w:eastAsia="Times New Roman" w:hAnsi="Arial" w:cs="Arial"/>
                <w:color w:val="000000"/>
                <w:kern w:val="0"/>
                <w:sz w:val="20"/>
                <w:szCs w:val="20"/>
                <w:lang w:eastAsia="en-ZA"/>
                <w14:ligatures w14:val="none"/>
              </w:rPr>
            </w:pPr>
            <w:r w:rsidRPr="004D3BB2">
              <w:rPr>
                <w:rFonts w:ascii="Arial" w:eastAsia="Times New Roman" w:hAnsi="Arial" w:cs="Arial"/>
                <w:color w:val="000000"/>
                <w:kern w:val="0"/>
                <w:lang w:eastAsia="en-ZA"/>
                <w14:ligatures w14:val="none"/>
              </w:rPr>
              <w:t xml:space="preserve">Secondary research is necessary to identify and acquire reports and documents that provide data for profiling the housing supply, housing needs, housing backlogs, housing affordability (based on household income estimates) </w:t>
            </w:r>
            <w:r w:rsidRPr="004D3BB2">
              <w:rPr>
                <w:rFonts w:ascii="Arial" w:eastAsia="Times New Roman" w:hAnsi="Arial" w:cs="Arial"/>
                <w:color w:val="000000"/>
                <w:kern w:val="0"/>
                <w:sz w:val="20"/>
                <w:szCs w:val="20"/>
                <w:lang w:eastAsia="en-ZA"/>
                <w14:ligatures w14:val="none"/>
              </w:rPr>
              <w:t>of the three housing market segments in each of the nine provinces and eight metropolitan municipalities:</w:t>
            </w:r>
          </w:p>
          <w:p w14:paraId="6F61240C" w14:textId="77777777" w:rsidR="00500B0A" w:rsidRDefault="00500B0A" w:rsidP="00500B0A"/>
          <w:p w14:paraId="7CB0C476" w14:textId="77777777" w:rsidR="00500B0A" w:rsidRDefault="00500B0A" w:rsidP="00500B0A">
            <w:pPr>
              <w:pStyle w:val="ListParagraph"/>
              <w:numPr>
                <w:ilvl w:val="0"/>
                <w:numId w:val="2"/>
              </w:numPr>
            </w:pPr>
            <w:r w:rsidRPr="00116F1F">
              <w:rPr>
                <w:rFonts w:ascii="Arial" w:eastAsia="Times New Roman" w:hAnsi="Arial" w:cs="Arial"/>
                <w:color w:val="000000"/>
                <w:kern w:val="0"/>
                <w:lang w:eastAsia="en-ZA"/>
                <w14:ligatures w14:val="none"/>
              </w:rPr>
              <w:t>Will the NHFC provides a list of these, or will it require the service provider to research and identify these reports/documents?</w:t>
            </w:r>
          </w:p>
          <w:p w14:paraId="246DD67C" w14:textId="77777777" w:rsidR="00500B0A" w:rsidRDefault="00500B0A" w:rsidP="00500B0A"/>
          <w:p w14:paraId="24CA1104" w14:textId="77777777" w:rsidR="00500B0A" w:rsidRDefault="00500B0A" w:rsidP="00500B0A">
            <w:pPr>
              <w:pStyle w:val="ListParagraph"/>
              <w:numPr>
                <w:ilvl w:val="0"/>
                <w:numId w:val="2"/>
              </w:numPr>
            </w:pPr>
            <w:r w:rsidRPr="00116F1F">
              <w:rPr>
                <w:rFonts w:ascii="Arial" w:eastAsia="Times New Roman" w:hAnsi="Arial" w:cs="Arial"/>
                <w:color w:val="000000"/>
                <w:kern w:val="0"/>
                <w:lang w:eastAsia="en-ZA"/>
                <w14:ligatures w14:val="none"/>
              </w:rPr>
              <w:t>Will the NHFC formally request these reports/documents, on behalf of the service provider?</w:t>
            </w:r>
          </w:p>
          <w:p w14:paraId="76FB823E" w14:textId="77777777" w:rsidR="00500B0A" w:rsidRDefault="00500B0A" w:rsidP="00500B0A"/>
          <w:p w14:paraId="677EF98B" w14:textId="29C082C7" w:rsidR="00500B0A" w:rsidRDefault="00500B0A" w:rsidP="00500B0A">
            <w:pPr>
              <w:pStyle w:val="ListParagraph"/>
              <w:numPr>
                <w:ilvl w:val="0"/>
                <w:numId w:val="2"/>
              </w:numPr>
            </w:pPr>
            <w:r w:rsidRPr="00116F1F">
              <w:rPr>
                <w:rFonts w:ascii="Arial" w:eastAsia="Times New Roman" w:hAnsi="Arial" w:cs="Arial"/>
                <w:color w:val="000000"/>
                <w:kern w:val="0"/>
                <w:lang w:eastAsia="en-ZA"/>
                <w14:ligatures w14:val="none"/>
              </w:rPr>
              <w:t>Will the NHFC cover the cost of procuring these reports/documents where there is a procurement fee?</w:t>
            </w:r>
          </w:p>
        </w:tc>
        <w:tc>
          <w:tcPr>
            <w:tcW w:w="7229" w:type="dxa"/>
          </w:tcPr>
          <w:p w14:paraId="278D602D" w14:textId="1095C9A9" w:rsidR="003E50A5" w:rsidRPr="00A229B8" w:rsidRDefault="003E50A5" w:rsidP="005A6B5A">
            <w:pPr>
              <w:pStyle w:val="paragraph"/>
              <w:numPr>
                <w:ilvl w:val="0"/>
                <w:numId w:val="2"/>
              </w:numPr>
              <w:spacing w:before="0" w:beforeAutospacing="0" w:after="0" w:afterAutospacing="0"/>
              <w:textAlignment w:val="baseline"/>
              <w:rPr>
                <w:rFonts w:ascii="Segoe UI" w:hAnsi="Segoe UI" w:cs="Segoe UI"/>
                <w:sz w:val="18"/>
                <w:szCs w:val="18"/>
              </w:rPr>
            </w:pPr>
            <w:r w:rsidRPr="00A229B8">
              <w:rPr>
                <w:rStyle w:val="normaltextrun"/>
                <w:rFonts w:ascii="Arial" w:hAnsi="Arial" w:cs="Arial"/>
                <w:color w:val="000000"/>
                <w:sz w:val="22"/>
                <w:szCs w:val="22"/>
              </w:rPr>
              <w:t>The service provider is welcome to include these costs in their total project cost. The reports can then be handed in with the final research report</w:t>
            </w:r>
            <w:r w:rsidR="00141962">
              <w:rPr>
                <w:rStyle w:val="normaltextrun"/>
                <w:rFonts w:ascii="Arial" w:hAnsi="Arial" w:cs="Arial"/>
                <w:color w:val="000000"/>
                <w:sz w:val="22"/>
                <w:szCs w:val="22"/>
              </w:rPr>
              <w:t>.</w:t>
            </w:r>
          </w:p>
          <w:p w14:paraId="0D382EF4" w14:textId="75AF5EB5" w:rsidR="00500B0A" w:rsidRDefault="00500B0A" w:rsidP="00500B0A"/>
        </w:tc>
      </w:tr>
      <w:tr w:rsidR="00500B0A" w14:paraId="5D6DC3F9" w14:textId="77777777" w:rsidTr="00A229B8">
        <w:trPr>
          <w:trHeight w:val="1016"/>
        </w:trPr>
        <w:tc>
          <w:tcPr>
            <w:tcW w:w="704" w:type="dxa"/>
          </w:tcPr>
          <w:p w14:paraId="2F571605" w14:textId="6F555182" w:rsidR="00500B0A" w:rsidRDefault="00500B0A" w:rsidP="00500B0A">
            <w:r>
              <w:t>2</w:t>
            </w:r>
          </w:p>
        </w:tc>
        <w:tc>
          <w:tcPr>
            <w:tcW w:w="6521" w:type="dxa"/>
          </w:tcPr>
          <w:p w14:paraId="7F0E7002" w14:textId="4ED3F069" w:rsidR="00500B0A" w:rsidRDefault="00500B0A" w:rsidP="00A229B8">
            <w:r w:rsidRPr="006F1C31">
              <w:rPr>
                <w:rFonts w:ascii="Arial" w:eastAsia="Times New Roman" w:hAnsi="Arial" w:cs="Arial"/>
                <w:color w:val="000000"/>
                <w:kern w:val="0"/>
                <w:lang w:eastAsia="en-ZA"/>
                <w14:ligatures w14:val="none"/>
              </w:rPr>
              <w:t>When does the NHFC envisage that the work on this contract would start?</w:t>
            </w:r>
          </w:p>
        </w:tc>
        <w:tc>
          <w:tcPr>
            <w:tcW w:w="7229" w:type="dxa"/>
          </w:tcPr>
          <w:p w14:paraId="67EC05B2" w14:textId="0ACBAF8D" w:rsidR="00500B0A" w:rsidRDefault="001D1258" w:rsidP="001D1258">
            <w:pPr>
              <w:pStyle w:val="ListParagraph"/>
              <w:numPr>
                <w:ilvl w:val="0"/>
                <w:numId w:val="4"/>
              </w:numPr>
            </w:pPr>
            <w:r w:rsidRPr="001D1258">
              <w:rPr>
                <w:rStyle w:val="normaltextrun"/>
                <w:rFonts w:ascii="Arial" w:hAnsi="Arial" w:cs="Arial"/>
                <w:color w:val="000000"/>
                <w:shd w:val="clear" w:color="auto" w:fill="FFFFFF"/>
              </w:rPr>
              <w:t>The number of bids received influences the timeline. To allow the full process of evaluation and awarding the successful bidder, we estimate 120 working days</w:t>
            </w:r>
            <w:r w:rsidRPr="001D1258">
              <w:rPr>
                <w:rStyle w:val="normaltextrun"/>
                <w:rFonts w:ascii="Calibri" w:hAnsi="Calibri" w:cs="Calibri"/>
                <w:color w:val="000000"/>
                <w:shd w:val="clear" w:color="auto" w:fill="FFFFFF"/>
              </w:rPr>
              <w:t>.  </w:t>
            </w:r>
            <w:r w:rsidRPr="001D1258">
              <w:rPr>
                <w:rStyle w:val="eop"/>
                <w:rFonts w:ascii="Calibri" w:hAnsi="Calibri" w:cs="Calibri"/>
                <w:color w:val="000000"/>
                <w:shd w:val="clear" w:color="auto" w:fill="FFFFFF"/>
              </w:rPr>
              <w:t> </w:t>
            </w:r>
          </w:p>
        </w:tc>
      </w:tr>
      <w:tr w:rsidR="00500B0A" w14:paraId="4A10AC73" w14:textId="77777777" w:rsidTr="00EC3F40">
        <w:trPr>
          <w:trHeight w:val="846"/>
        </w:trPr>
        <w:tc>
          <w:tcPr>
            <w:tcW w:w="704" w:type="dxa"/>
          </w:tcPr>
          <w:p w14:paraId="5536F085" w14:textId="4428031C" w:rsidR="00500B0A" w:rsidRDefault="00500B0A" w:rsidP="00500B0A">
            <w:r>
              <w:t>3</w:t>
            </w:r>
          </w:p>
        </w:tc>
        <w:tc>
          <w:tcPr>
            <w:tcW w:w="6521" w:type="dxa"/>
          </w:tcPr>
          <w:p w14:paraId="5703FD2D" w14:textId="735032DB" w:rsidR="00EC3F40" w:rsidRPr="003076B6" w:rsidRDefault="00500B0A" w:rsidP="00EC3F40">
            <w:pPr>
              <w:spacing w:before="120" w:after="120"/>
              <w:rPr>
                <w:rFonts w:ascii="Arial" w:eastAsia="Times New Roman" w:hAnsi="Arial" w:cs="Arial"/>
                <w:color w:val="000000"/>
                <w:kern w:val="0"/>
                <w:lang w:eastAsia="en-ZA"/>
                <w14:ligatures w14:val="none"/>
              </w:rPr>
            </w:pPr>
            <w:r w:rsidRPr="004D3BB2">
              <w:rPr>
                <w:rFonts w:ascii="Arial" w:eastAsia="Times New Roman" w:hAnsi="Arial" w:cs="Arial"/>
                <w:color w:val="000000"/>
                <w:kern w:val="0"/>
                <w:lang w:eastAsia="en-ZA"/>
                <w14:ligatures w14:val="none"/>
              </w:rPr>
              <w:t>Is there a pro-forma to complete for the Consent for Credit and World Checks? If not will a letter on</w:t>
            </w:r>
            <w:r>
              <w:rPr>
                <w:rFonts w:ascii="Arial" w:eastAsia="Times New Roman" w:hAnsi="Arial" w:cs="Arial"/>
                <w:color w:val="000000"/>
                <w:kern w:val="0"/>
                <w:lang w:eastAsia="en-ZA"/>
                <w14:ligatures w14:val="none"/>
              </w:rPr>
              <w:t xml:space="preserve"> </w:t>
            </w:r>
            <w:r w:rsidRPr="004D3BB2">
              <w:rPr>
                <w:rFonts w:ascii="Arial" w:eastAsia="Times New Roman" w:hAnsi="Arial" w:cs="Arial"/>
                <w:color w:val="000000"/>
                <w:kern w:val="0"/>
                <w:lang w:eastAsia="en-ZA"/>
                <w14:ligatures w14:val="none"/>
              </w:rPr>
              <w:t>letterheads giving this consent, suffice?</w:t>
            </w:r>
            <w:r>
              <w:rPr>
                <w:rFonts w:ascii="Arial" w:eastAsia="Times New Roman" w:hAnsi="Arial" w:cs="Arial"/>
                <w:color w:val="000000"/>
                <w:kern w:val="0"/>
                <w:lang w:eastAsia="en-ZA"/>
                <w14:ligatures w14:val="none"/>
              </w:rPr>
              <w:t xml:space="preserve"> </w:t>
            </w:r>
          </w:p>
        </w:tc>
        <w:tc>
          <w:tcPr>
            <w:tcW w:w="7229" w:type="dxa"/>
          </w:tcPr>
          <w:p w14:paraId="7C06CADE" w14:textId="77777777" w:rsidR="001D1258" w:rsidRDefault="00500B0A" w:rsidP="001D1258">
            <w:pPr>
              <w:pStyle w:val="paragraph"/>
              <w:spacing w:before="0" w:beforeAutospacing="0" w:after="0" w:afterAutospacing="0"/>
              <w:textAlignment w:val="baseline"/>
              <w:rPr>
                <w:rFonts w:ascii="Segoe UI" w:hAnsi="Segoe UI" w:cs="Segoe UI"/>
                <w:sz w:val="18"/>
                <w:szCs w:val="18"/>
              </w:rPr>
            </w:pPr>
            <w:r w:rsidRPr="007913B4">
              <w:t xml:space="preserve"> </w:t>
            </w:r>
            <w:r w:rsidR="001D1258">
              <w:rPr>
                <w:rStyle w:val="eop"/>
                <w:rFonts w:ascii="Calibri" w:hAnsi="Calibri" w:cs="Calibri"/>
                <w:color w:val="FF0000"/>
                <w:sz w:val="22"/>
                <w:szCs w:val="22"/>
              </w:rPr>
              <w:t> </w:t>
            </w:r>
          </w:p>
          <w:p w14:paraId="2BA19432" w14:textId="067DB653" w:rsidR="001D1258" w:rsidRPr="00141962" w:rsidRDefault="00141962" w:rsidP="001D1258">
            <w:pPr>
              <w:pStyle w:val="paragraph"/>
              <w:numPr>
                <w:ilvl w:val="0"/>
                <w:numId w:val="4"/>
              </w:numPr>
              <w:spacing w:before="0" w:beforeAutospacing="0" w:after="0" w:afterAutospacing="0"/>
              <w:textAlignment w:val="baseline"/>
              <w:rPr>
                <w:rStyle w:val="normaltextrun"/>
                <w:rFonts w:ascii="Arial" w:eastAsiaTheme="minorHAnsi" w:hAnsi="Arial" w:cs="Arial"/>
                <w:color w:val="000000"/>
                <w:kern w:val="2"/>
                <w:shd w:val="clear" w:color="auto" w:fill="FFFFFF"/>
                <w:lang w:eastAsia="en-US"/>
                <w14:ligatures w14:val="standardContextual"/>
              </w:rPr>
            </w:pPr>
            <w:r>
              <w:rPr>
                <w:rStyle w:val="normaltextrun"/>
                <w:rFonts w:ascii="Arial" w:eastAsiaTheme="minorHAnsi" w:hAnsi="Arial" w:cs="Arial"/>
                <w:color w:val="000000"/>
                <w:kern w:val="2"/>
                <w:shd w:val="clear" w:color="auto" w:fill="FFFFFF"/>
                <w:lang w:eastAsia="en-US"/>
                <w14:ligatures w14:val="standardContextual"/>
              </w:rPr>
              <w:t>B</w:t>
            </w:r>
            <w:r w:rsidRPr="00141962">
              <w:rPr>
                <w:rStyle w:val="normaltextrun"/>
                <w:rFonts w:ascii="Arial" w:eastAsiaTheme="minorHAnsi" w:hAnsi="Arial" w:cs="Arial"/>
                <w:color w:val="000000"/>
                <w:kern w:val="2"/>
                <w:sz w:val="22"/>
                <w:szCs w:val="22"/>
                <w:shd w:val="clear" w:color="auto" w:fill="FFFFFF"/>
                <w:lang w:eastAsia="en-US"/>
                <w14:ligatures w14:val="standardContextual"/>
              </w:rPr>
              <w:t xml:space="preserve">idders must complete all the </w:t>
            </w:r>
            <w:r w:rsidRPr="00141962">
              <w:rPr>
                <w:rStyle w:val="normaltextrun"/>
                <w:rFonts w:ascii="Arial" w:eastAsiaTheme="minorHAnsi" w:hAnsi="Arial" w:cs="Arial"/>
                <w:kern w:val="2"/>
                <w:sz w:val="22"/>
                <w:szCs w:val="22"/>
                <w:shd w:val="clear" w:color="auto" w:fill="FFFFFF"/>
                <w:lang w:eastAsia="en-US"/>
                <w14:ligatures w14:val="standardContextual"/>
              </w:rPr>
              <w:t>Consent for Credit and World Checks</w:t>
            </w:r>
            <w:r w:rsidRPr="00141962">
              <w:rPr>
                <w:rStyle w:val="normaltextrun"/>
                <w:rFonts w:ascii="Arial" w:eastAsiaTheme="minorHAnsi" w:hAnsi="Arial" w:cs="Arial"/>
                <w:color w:val="000000"/>
                <w:kern w:val="2"/>
                <w:sz w:val="22"/>
                <w:szCs w:val="22"/>
                <w:shd w:val="clear" w:color="auto" w:fill="FFFFFF"/>
                <w:lang w:eastAsia="en-US"/>
                <w14:ligatures w14:val="standardContextual"/>
              </w:rPr>
              <w:t xml:space="preserve"> forms and may attach any supporting documents if any. </w:t>
            </w:r>
          </w:p>
          <w:p w14:paraId="70BF0B37" w14:textId="77777777" w:rsidR="001D1258" w:rsidRPr="00141962" w:rsidRDefault="001D1258" w:rsidP="001D1258">
            <w:pPr>
              <w:pStyle w:val="paragraph"/>
              <w:spacing w:before="0" w:beforeAutospacing="0" w:after="0" w:afterAutospacing="0"/>
              <w:textAlignment w:val="baseline"/>
              <w:rPr>
                <w:rStyle w:val="normaltextrun"/>
                <w:rFonts w:ascii="Arial" w:eastAsiaTheme="minorHAnsi" w:hAnsi="Arial" w:cs="Arial"/>
                <w:color w:val="000000"/>
                <w:kern w:val="2"/>
                <w:sz w:val="22"/>
                <w:szCs w:val="22"/>
                <w:shd w:val="clear" w:color="auto" w:fill="FFFFFF"/>
                <w:lang w:eastAsia="en-US"/>
                <w14:ligatures w14:val="standardContextual"/>
              </w:rPr>
            </w:pPr>
            <w:r w:rsidRPr="00141962">
              <w:rPr>
                <w:rStyle w:val="normaltextrun"/>
                <w:rFonts w:ascii="Arial" w:eastAsiaTheme="minorHAnsi" w:hAnsi="Arial" w:cs="Arial"/>
                <w:color w:val="000000"/>
                <w:kern w:val="2"/>
                <w:shd w:val="clear" w:color="auto" w:fill="FFFFFF"/>
                <w:lang w:eastAsia="en-US"/>
                <w14:ligatures w14:val="standardContextual"/>
              </w:rPr>
              <w:t> </w:t>
            </w:r>
          </w:p>
          <w:p w14:paraId="4F147965" w14:textId="6C1E4100" w:rsidR="00500B0A" w:rsidRDefault="00500B0A" w:rsidP="001D1258">
            <w:pPr>
              <w:jc w:val="both"/>
            </w:pPr>
          </w:p>
        </w:tc>
      </w:tr>
      <w:tr w:rsidR="00500B0A" w14:paraId="276FFC92" w14:textId="77777777" w:rsidTr="00A229B8">
        <w:tc>
          <w:tcPr>
            <w:tcW w:w="704" w:type="dxa"/>
          </w:tcPr>
          <w:p w14:paraId="61D78E05" w14:textId="0A790295" w:rsidR="00500B0A" w:rsidRDefault="00EC3F40" w:rsidP="00500B0A">
            <w:r>
              <w:lastRenderedPageBreak/>
              <w:t>4</w:t>
            </w:r>
          </w:p>
          <w:p w14:paraId="5D11B047" w14:textId="7BDA8DA6" w:rsidR="00500B0A" w:rsidRDefault="00500B0A" w:rsidP="00500B0A"/>
        </w:tc>
        <w:tc>
          <w:tcPr>
            <w:tcW w:w="6521" w:type="dxa"/>
          </w:tcPr>
          <w:p w14:paraId="7CB49882" w14:textId="79F07DF7" w:rsidR="00EC3F40" w:rsidRPr="003076B6" w:rsidRDefault="00500B0A" w:rsidP="00EC3F40">
            <w:pPr>
              <w:spacing w:before="120" w:after="120"/>
              <w:rPr>
                <w:rFonts w:ascii="Arial" w:eastAsia="Times New Roman" w:hAnsi="Arial" w:cs="Arial"/>
                <w:color w:val="000000"/>
                <w:kern w:val="0"/>
                <w:lang w:eastAsia="en-ZA"/>
                <w14:ligatures w14:val="none"/>
              </w:rPr>
            </w:pPr>
            <w:r w:rsidRPr="004D3BB2">
              <w:rPr>
                <w:rFonts w:ascii="Arial" w:eastAsia="Times New Roman" w:hAnsi="Arial" w:cs="Arial"/>
                <w:color w:val="000000"/>
                <w:kern w:val="0"/>
                <w:lang w:eastAsia="en-ZA"/>
                <w14:ligatures w14:val="none"/>
              </w:rPr>
              <w:t>Is there a budget limit envisaged?</w:t>
            </w:r>
          </w:p>
        </w:tc>
        <w:tc>
          <w:tcPr>
            <w:tcW w:w="7229" w:type="dxa"/>
          </w:tcPr>
          <w:p w14:paraId="374BA02C" w14:textId="3F7FCC94" w:rsidR="00500B0A" w:rsidRDefault="009267F1" w:rsidP="009267F1">
            <w:pPr>
              <w:pStyle w:val="ListParagraph"/>
              <w:numPr>
                <w:ilvl w:val="0"/>
                <w:numId w:val="4"/>
              </w:numPr>
              <w:jc w:val="both"/>
            </w:pPr>
            <w:r w:rsidRPr="009267F1">
              <w:rPr>
                <w:rStyle w:val="normaltextrun"/>
                <w:rFonts w:ascii="Arial" w:hAnsi="Arial" w:cs="Arial"/>
                <w:color w:val="000000"/>
                <w:shd w:val="clear" w:color="auto" w:fill="FFFFFF"/>
              </w:rPr>
              <w:t xml:space="preserve">The bidders are advised to quote </w:t>
            </w:r>
            <w:r w:rsidR="00141962">
              <w:rPr>
                <w:rStyle w:val="normaltextrun"/>
                <w:rFonts w:ascii="Arial" w:hAnsi="Arial" w:cs="Arial"/>
                <w:color w:val="000000"/>
                <w:shd w:val="clear" w:color="auto" w:fill="FFFFFF"/>
              </w:rPr>
              <w:t>as per</w:t>
            </w:r>
            <w:r w:rsidRPr="009267F1">
              <w:rPr>
                <w:rStyle w:val="normaltextrun"/>
                <w:rFonts w:ascii="Arial" w:hAnsi="Arial" w:cs="Arial"/>
                <w:color w:val="000000"/>
                <w:shd w:val="clear" w:color="auto" w:fill="FFFFFF"/>
              </w:rPr>
              <w:t xml:space="preserve"> the scope of work</w:t>
            </w:r>
            <w:r w:rsidR="00141962">
              <w:rPr>
                <w:rStyle w:val="normaltextrun"/>
                <w:rFonts w:ascii="Arial" w:hAnsi="Arial" w:cs="Arial"/>
                <w:color w:val="000000"/>
                <w:shd w:val="clear" w:color="auto" w:fill="FFFFFF"/>
              </w:rPr>
              <w:t>.</w:t>
            </w:r>
            <w:r w:rsidRPr="009267F1">
              <w:rPr>
                <w:rStyle w:val="eop"/>
                <w:rFonts w:ascii="Calibri" w:hAnsi="Calibri" w:cs="Calibri"/>
                <w:color w:val="000000"/>
                <w:shd w:val="clear" w:color="auto" w:fill="FFFFFF"/>
              </w:rPr>
              <w:t> </w:t>
            </w:r>
          </w:p>
        </w:tc>
      </w:tr>
      <w:tr w:rsidR="00500B0A" w14:paraId="7F937196" w14:textId="77777777" w:rsidTr="00A229B8">
        <w:tc>
          <w:tcPr>
            <w:tcW w:w="704" w:type="dxa"/>
          </w:tcPr>
          <w:p w14:paraId="61B849E4" w14:textId="3D7A9F16" w:rsidR="00500B0A" w:rsidRDefault="00EC3F40" w:rsidP="00500B0A">
            <w:r>
              <w:t>4</w:t>
            </w:r>
          </w:p>
        </w:tc>
        <w:tc>
          <w:tcPr>
            <w:tcW w:w="6521" w:type="dxa"/>
            <w:vAlign w:val="bottom"/>
          </w:tcPr>
          <w:p w14:paraId="0E3937E5" w14:textId="1D0A8EEF" w:rsidR="00500B0A" w:rsidRPr="003076B6" w:rsidRDefault="00500B0A" w:rsidP="00500B0A">
            <w:pPr>
              <w:spacing w:before="120" w:after="120"/>
              <w:rPr>
                <w:rFonts w:ascii="Arial" w:eastAsia="Times New Roman" w:hAnsi="Arial" w:cs="Arial"/>
                <w:color w:val="000000"/>
                <w:kern w:val="0"/>
                <w:lang w:eastAsia="en-ZA"/>
                <w14:ligatures w14:val="none"/>
              </w:rPr>
            </w:pPr>
            <w:r w:rsidRPr="004D3BB2">
              <w:rPr>
                <w:rFonts w:ascii="Arial" w:eastAsia="Times New Roman" w:hAnsi="Arial" w:cs="Arial"/>
                <w:color w:val="000000"/>
                <w:kern w:val="0"/>
                <w:lang w:eastAsia="en-ZA"/>
                <w14:ligatures w14:val="none"/>
              </w:rPr>
              <w:t>Does the NHFC require that the mapping of the housing market segments data by province and</w:t>
            </w:r>
            <w:r>
              <w:rPr>
                <w:rFonts w:ascii="Arial" w:eastAsia="Times New Roman" w:hAnsi="Arial" w:cs="Arial"/>
                <w:color w:val="000000"/>
                <w:kern w:val="0"/>
                <w:lang w:eastAsia="en-ZA"/>
                <w14:ligatures w14:val="none"/>
              </w:rPr>
              <w:t xml:space="preserve"> </w:t>
            </w:r>
            <w:r w:rsidRPr="004D3BB2">
              <w:rPr>
                <w:rFonts w:ascii="Arial" w:eastAsia="Times New Roman" w:hAnsi="Arial" w:cs="Arial"/>
                <w:color w:val="000000"/>
                <w:kern w:val="0"/>
                <w:lang w:eastAsia="en-ZA"/>
                <w14:ligatures w14:val="none"/>
              </w:rPr>
              <w:t>metropolitan municipalities to be presented pictorially on a map of South Africa (involving working</w:t>
            </w:r>
            <w:r>
              <w:rPr>
                <w:rFonts w:ascii="Arial" w:eastAsia="Times New Roman" w:hAnsi="Arial" w:cs="Arial"/>
                <w:color w:val="000000"/>
                <w:kern w:val="0"/>
                <w:lang w:eastAsia="en-ZA"/>
                <w14:ligatures w14:val="none"/>
              </w:rPr>
              <w:t xml:space="preserve"> </w:t>
            </w:r>
            <w:r w:rsidRPr="004D3BB2">
              <w:rPr>
                <w:rFonts w:ascii="Arial" w:eastAsia="Times New Roman" w:hAnsi="Arial" w:cs="Arial"/>
                <w:color w:val="000000"/>
                <w:kern w:val="0"/>
                <w:lang w:eastAsia="en-ZA"/>
                <w14:ligatures w14:val="none"/>
              </w:rPr>
              <w:t>with GIS mapping technology)? Or can the provincial and metropolitan output data be through</w:t>
            </w:r>
            <w:r>
              <w:rPr>
                <w:rFonts w:ascii="Arial" w:eastAsia="Times New Roman" w:hAnsi="Arial" w:cs="Arial"/>
                <w:color w:val="000000"/>
                <w:kern w:val="0"/>
                <w:lang w:eastAsia="en-ZA"/>
                <w14:ligatures w14:val="none"/>
              </w:rPr>
              <w:t xml:space="preserve"> </w:t>
            </w:r>
            <w:r w:rsidRPr="004D3BB2">
              <w:rPr>
                <w:rFonts w:ascii="Arial" w:eastAsia="Times New Roman" w:hAnsi="Arial" w:cs="Arial"/>
                <w:color w:val="000000"/>
                <w:kern w:val="0"/>
                <w:lang w:eastAsia="en-ZA"/>
                <w14:ligatures w14:val="none"/>
              </w:rPr>
              <w:t>tables that identify the specific provinces and metropolitan municipalities?</w:t>
            </w:r>
          </w:p>
        </w:tc>
        <w:tc>
          <w:tcPr>
            <w:tcW w:w="7229" w:type="dxa"/>
          </w:tcPr>
          <w:p w14:paraId="44221146" w14:textId="75DDEB71" w:rsidR="00500B0A" w:rsidRDefault="00375BD0" w:rsidP="00375BD0">
            <w:pPr>
              <w:pStyle w:val="ListParagraph"/>
              <w:numPr>
                <w:ilvl w:val="0"/>
                <w:numId w:val="4"/>
              </w:numPr>
            </w:pPr>
            <w:r w:rsidRPr="00375BD0">
              <w:rPr>
                <w:rStyle w:val="normaltextrun"/>
                <w:rFonts w:ascii="Arial" w:hAnsi="Arial" w:cs="Arial"/>
                <w:color w:val="000000"/>
                <w:shd w:val="clear" w:color="auto" w:fill="FFFFFF"/>
              </w:rPr>
              <w:t>The NHFC will prefer the output data to be presented in table format. If possible, to do both with pictorials, it will be welcome as well </w:t>
            </w:r>
            <w:r w:rsidRPr="00375BD0">
              <w:rPr>
                <w:rStyle w:val="eop"/>
                <w:rFonts w:ascii="Arial" w:hAnsi="Arial" w:cs="Arial"/>
                <w:color w:val="000000"/>
                <w:shd w:val="clear" w:color="auto" w:fill="FFFFFF"/>
              </w:rPr>
              <w:t> </w:t>
            </w:r>
          </w:p>
        </w:tc>
      </w:tr>
      <w:tr w:rsidR="00500B0A" w14:paraId="336C68FB" w14:textId="77777777" w:rsidTr="00A229B8">
        <w:tc>
          <w:tcPr>
            <w:tcW w:w="704" w:type="dxa"/>
          </w:tcPr>
          <w:p w14:paraId="01576FB0" w14:textId="57669296" w:rsidR="00500B0A" w:rsidRDefault="00CB5081" w:rsidP="00500B0A">
            <w:r>
              <w:t>5</w:t>
            </w:r>
          </w:p>
        </w:tc>
        <w:tc>
          <w:tcPr>
            <w:tcW w:w="6521" w:type="dxa"/>
            <w:vAlign w:val="bottom"/>
          </w:tcPr>
          <w:p w14:paraId="12646824" w14:textId="5A18D56F" w:rsidR="00500B0A" w:rsidRPr="003076B6" w:rsidRDefault="00500B0A" w:rsidP="00500B0A">
            <w:pPr>
              <w:spacing w:before="120" w:after="120"/>
              <w:rPr>
                <w:rFonts w:ascii="Arial" w:eastAsia="Times New Roman" w:hAnsi="Arial" w:cs="Arial"/>
                <w:color w:val="000000"/>
                <w:kern w:val="0"/>
                <w:lang w:eastAsia="en-ZA"/>
                <w14:ligatures w14:val="none"/>
              </w:rPr>
            </w:pPr>
            <w:r w:rsidRPr="004D3BB2">
              <w:rPr>
                <w:rFonts w:ascii="Arial" w:eastAsia="Times New Roman" w:hAnsi="Arial" w:cs="Arial"/>
                <w:color w:val="000000"/>
                <w:kern w:val="0"/>
                <w:lang w:eastAsia="en-ZA"/>
                <w14:ligatures w14:val="none"/>
              </w:rPr>
              <w:t>Will the NHFC provide documents (reports, housing market data analyses, internal NHFC</w:t>
            </w:r>
            <w:r>
              <w:rPr>
                <w:rFonts w:ascii="Arial" w:eastAsia="Times New Roman" w:hAnsi="Arial" w:cs="Arial"/>
                <w:color w:val="000000"/>
                <w:kern w:val="0"/>
                <w:lang w:eastAsia="en-ZA"/>
                <w14:ligatures w14:val="none"/>
              </w:rPr>
              <w:t xml:space="preserve"> </w:t>
            </w:r>
            <w:r w:rsidRPr="004D3BB2">
              <w:rPr>
                <w:rFonts w:ascii="Arial" w:eastAsia="Times New Roman" w:hAnsi="Arial" w:cs="Arial"/>
                <w:color w:val="000000"/>
                <w:kern w:val="0"/>
                <w:lang w:eastAsia="en-ZA"/>
                <w14:ligatures w14:val="none"/>
              </w:rPr>
              <w:t>assessments of products and service offerings, etc.) from which to extract secondary data? Or does</w:t>
            </w:r>
            <w:r>
              <w:rPr>
                <w:rFonts w:ascii="Arial" w:eastAsia="Times New Roman" w:hAnsi="Arial" w:cs="Arial"/>
                <w:color w:val="000000"/>
                <w:kern w:val="0"/>
                <w:lang w:eastAsia="en-ZA"/>
                <w14:ligatures w14:val="none"/>
              </w:rPr>
              <w:t xml:space="preserve"> </w:t>
            </w:r>
            <w:r w:rsidRPr="004D3BB2">
              <w:rPr>
                <w:rFonts w:ascii="Arial" w:eastAsia="Times New Roman" w:hAnsi="Arial" w:cs="Arial"/>
                <w:color w:val="000000"/>
                <w:kern w:val="0"/>
                <w:lang w:eastAsia="en-ZA"/>
                <w14:ligatures w14:val="none"/>
              </w:rPr>
              <w:t>the NHFC require the service provider to undertake additional secondary research?</w:t>
            </w:r>
          </w:p>
        </w:tc>
        <w:tc>
          <w:tcPr>
            <w:tcW w:w="7229" w:type="dxa"/>
          </w:tcPr>
          <w:p w14:paraId="30FBDF35" w14:textId="70C41126" w:rsidR="00500B0A" w:rsidRDefault="00375BD0" w:rsidP="00375BD0">
            <w:pPr>
              <w:pStyle w:val="ListParagraph"/>
              <w:numPr>
                <w:ilvl w:val="0"/>
                <w:numId w:val="4"/>
              </w:numPr>
            </w:pPr>
            <w:r w:rsidRPr="00375BD0">
              <w:rPr>
                <w:rStyle w:val="normaltextrun"/>
                <w:rFonts w:ascii="Arial" w:hAnsi="Arial" w:cs="Arial"/>
                <w:color w:val="000000"/>
                <w:shd w:val="clear" w:color="auto" w:fill="FFFFFF"/>
              </w:rPr>
              <w:t>The information on products and service offerings will be made available to the winning bidder. The NHFC requires assessment of their product relevance in the market as explained at the briefing session </w:t>
            </w:r>
            <w:r w:rsidRPr="00375BD0">
              <w:rPr>
                <w:rStyle w:val="eop"/>
                <w:rFonts w:ascii="Arial" w:hAnsi="Arial" w:cs="Arial"/>
                <w:color w:val="000000"/>
                <w:shd w:val="clear" w:color="auto" w:fill="FFFFFF"/>
              </w:rPr>
              <w:t> </w:t>
            </w:r>
          </w:p>
        </w:tc>
      </w:tr>
      <w:tr w:rsidR="00500B0A" w14:paraId="2AB90169" w14:textId="77777777" w:rsidTr="00A229B8">
        <w:tc>
          <w:tcPr>
            <w:tcW w:w="704" w:type="dxa"/>
          </w:tcPr>
          <w:p w14:paraId="171C5D43" w14:textId="0D517254" w:rsidR="00500B0A" w:rsidRDefault="00CB5081" w:rsidP="00500B0A">
            <w:r>
              <w:t>6</w:t>
            </w:r>
          </w:p>
        </w:tc>
        <w:tc>
          <w:tcPr>
            <w:tcW w:w="6521" w:type="dxa"/>
            <w:vAlign w:val="bottom"/>
          </w:tcPr>
          <w:p w14:paraId="36329880" w14:textId="27689EF6" w:rsidR="00500B0A" w:rsidRPr="003076B6" w:rsidRDefault="00500B0A" w:rsidP="00500B0A">
            <w:pPr>
              <w:spacing w:before="120" w:after="120"/>
              <w:rPr>
                <w:rFonts w:ascii="Arial" w:eastAsia="Times New Roman" w:hAnsi="Arial" w:cs="Arial"/>
                <w:color w:val="000000"/>
                <w:kern w:val="0"/>
                <w:lang w:eastAsia="en-ZA"/>
                <w14:ligatures w14:val="none"/>
              </w:rPr>
            </w:pPr>
            <w:r w:rsidRPr="004D3BB2">
              <w:rPr>
                <w:rFonts w:ascii="Arial" w:eastAsia="Times New Roman" w:hAnsi="Arial" w:cs="Arial"/>
                <w:color w:val="000000"/>
                <w:kern w:val="0"/>
                <w:lang w:eastAsia="en-ZA"/>
                <w14:ligatures w14:val="none"/>
              </w:rPr>
              <w:t>Disclosure (OMD) reports, which is proprietary to the banking sector, and can only be accessed by a</w:t>
            </w:r>
            <w:r>
              <w:rPr>
                <w:rFonts w:ascii="Arial" w:eastAsia="Times New Roman" w:hAnsi="Arial" w:cs="Arial"/>
                <w:color w:val="000000"/>
                <w:kern w:val="0"/>
                <w:lang w:eastAsia="en-ZA"/>
                <w14:ligatures w14:val="none"/>
              </w:rPr>
              <w:t xml:space="preserve"> </w:t>
            </w:r>
            <w:r w:rsidRPr="004D3BB2">
              <w:rPr>
                <w:rFonts w:ascii="Arial" w:eastAsia="Times New Roman" w:hAnsi="Arial" w:cs="Arial"/>
                <w:color w:val="000000"/>
                <w:kern w:val="0"/>
                <w:lang w:eastAsia="en-ZA"/>
                <w14:ligatures w14:val="none"/>
              </w:rPr>
              <w:t>Relevant housing market segment information is likely to be contained in Office of Mortgage</w:t>
            </w:r>
            <w:r w:rsidRPr="004D3BB2">
              <w:rPr>
                <w:rFonts w:ascii="Arial" w:eastAsia="Times New Roman" w:hAnsi="Arial" w:cs="Arial"/>
                <w:color w:val="000000"/>
                <w:kern w:val="0"/>
                <w:lang w:eastAsia="en-ZA"/>
                <w14:ligatures w14:val="none"/>
              </w:rPr>
              <w:br/>
              <w:t>Disclosure (OMD) reports, which is proprietary to the banking sector, and can only be accessed by a state-owned entity (i.e. the NHFC) and made accessible to our team. Will the NHFC be accessing this</w:t>
            </w:r>
            <w:r w:rsidRPr="004D3BB2">
              <w:rPr>
                <w:rFonts w:ascii="Arial" w:eastAsia="Times New Roman" w:hAnsi="Arial" w:cs="Arial"/>
                <w:color w:val="000000"/>
                <w:kern w:val="0"/>
                <w:lang w:eastAsia="en-ZA"/>
                <w14:ligatures w14:val="none"/>
              </w:rPr>
              <w:br/>
              <w:t>OMD information and making it available to the service provider?</w:t>
            </w:r>
          </w:p>
        </w:tc>
        <w:tc>
          <w:tcPr>
            <w:tcW w:w="7229" w:type="dxa"/>
          </w:tcPr>
          <w:p w14:paraId="4E113314" w14:textId="65C0805F" w:rsidR="00500B0A" w:rsidRDefault="00CC3DC7" w:rsidP="00CC3DC7">
            <w:pPr>
              <w:pStyle w:val="ListParagraph"/>
              <w:numPr>
                <w:ilvl w:val="0"/>
                <w:numId w:val="4"/>
              </w:numPr>
            </w:pPr>
            <w:r w:rsidRPr="00CB5081">
              <w:rPr>
                <w:rStyle w:val="normaltextrun"/>
                <w:rFonts w:ascii="Arial" w:hAnsi="Arial" w:cs="Arial"/>
                <w:color w:val="000000"/>
                <w:shd w:val="clear" w:color="auto" w:fill="FFFFFF"/>
              </w:rPr>
              <w:t>We will engage the office and see if we get more details</w:t>
            </w:r>
            <w:r w:rsidRPr="00CC3DC7">
              <w:rPr>
                <w:rStyle w:val="normaltextrun"/>
                <w:rFonts w:ascii="Calibri" w:hAnsi="Calibri" w:cs="Calibri"/>
                <w:color w:val="000000"/>
                <w:shd w:val="clear" w:color="auto" w:fill="FFFFFF"/>
              </w:rPr>
              <w:t> </w:t>
            </w:r>
            <w:r w:rsidRPr="00CC3DC7">
              <w:rPr>
                <w:rStyle w:val="eop"/>
                <w:rFonts w:ascii="Calibri" w:hAnsi="Calibri" w:cs="Calibri"/>
                <w:color w:val="000000"/>
                <w:shd w:val="clear" w:color="auto" w:fill="FFFFFF"/>
              </w:rPr>
              <w:t> </w:t>
            </w:r>
          </w:p>
        </w:tc>
      </w:tr>
      <w:tr w:rsidR="000D20FB" w14:paraId="7CF3B31F" w14:textId="77777777" w:rsidTr="007F2938">
        <w:trPr>
          <w:trHeight w:val="999"/>
        </w:trPr>
        <w:tc>
          <w:tcPr>
            <w:tcW w:w="704" w:type="dxa"/>
          </w:tcPr>
          <w:p w14:paraId="7822D265" w14:textId="77777777" w:rsidR="000D20FB" w:rsidRDefault="000D20FB" w:rsidP="00500B0A">
            <w:r>
              <w:t>7</w:t>
            </w:r>
          </w:p>
          <w:p w14:paraId="6AEE634D" w14:textId="77777777" w:rsidR="000D20FB" w:rsidRDefault="000D20FB" w:rsidP="00500B0A"/>
          <w:p w14:paraId="23C5E6E2" w14:textId="40A5FCFB" w:rsidR="000D20FB" w:rsidRDefault="000D20FB" w:rsidP="00500B0A"/>
        </w:tc>
        <w:tc>
          <w:tcPr>
            <w:tcW w:w="6521" w:type="dxa"/>
            <w:vAlign w:val="bottom"/>
          </w:tcPr>
          <w:p w14:paraId="7A372352" w14:textId="02F45518" w:rsidR="000D20FB" w:rsidRPr="003076B6" w:rsidRDefault="000D20FB" w:rsidP="000D20FB">
            <w:pPr>
              <w:spacing w:before="120" w:after="120"/>
              <w:rPr>
                <w:rFonts w:ascii="Arial" w:eastAsia="Times New Roman" w:hAnsi="Arial" w:cs="Arial"/>
                <w:color w:val="000000"/>
                <w:kern w:val="0"/>
                <w:lang w:eastAsia="en-ZA"/>
                <w14:ligatures w14:val="none"/>
              </w:rPr>
            </w:pPr>
            <w:r w:rsidRPr="004D3BB2">
              <w:rPr>
                <w:rFonts w:ascii="Arial" w:eastAsia="Times New Roman" w:hAnsi="Arial" w:cs="Arial"/>
                <w:color w:val="000000"/>
                <w:kern w:val="0"/>
                <w:lang w:eastAsia="en-ZA"/>
                <w14:ligatures w14:val="none"/>
              </w:rPr>
              <w:t>Does the NHFC require the service provider to undertake primary research to collect data regarding</w:t>
            </w:r>
            <w:r>
              <w:rPr>
                <w:rFonts w:ascii="Arial" w:eastAsia="Times New Roman" w:hAnsi="Arial" w:cs="Arial"/>
                <w:color w:val="000000"/>
                <w:kern w:val="0"/>
                <w:lang w:eastAsia="en-ZA"/>
                <w14:ligatures w14:val="none"/>
              </w:rPr>
              <w:t xml:space="preserve"> </w:t>
            </w:r>
            <w:r w:rsidRPr="004D3BB2">
              <w:rPr>
                <w:rFonts w:ascii="Arial" w:eastAsia="Times New Roman" w:hAnsi="Arial" w:cs="Arial"/>
                <w:color w:val="000000"/>
                <w:kern w:val="0"/>
                <w:lang w:eastAsia="en-ZA"/>
                <w14:ligatures w14:val="none"/>
              </w:rPr>
              <w:t>the geographical spread of the three housing market segments?</w:t>
            </w:r>
          </w:p>
        </w:tc>
        <w:tc>
          <w:tcPr>
            <w:tcW w:w="7229" w:type="dxa"/>
          </w:tcPr>
          <w:p w14:paraId="3052FBF9" w14:textId="1FE6971B" w:rsidR="000D20FB" w:rsidRDefault="000D20FB" w:rsidP="00CC3DC7">
            <w:pPr>
              <w:pStyle w:val="ListParagraph"/>
              <w:numPr>
                <w:ilvl w:val="0"/>
                <w:numId w:val="4"/>
              </w:numPr>
            </w:pPr>
            <w:r w:rsidRPr="00CB5081">
              <w:rPr>
                <w:rStyle w:val="normaltextrun"/>
                <w:rFonts w:ascii="Arial" w:hAnsi="Arial" w:cs="Arial"/>
                <w:color w:val="000000"/>
                <w:shd w:val="clear" w:color="auto" w:fill="FFFFFF"/>
              </w:rPr>
              <w:t>Yes</w:t>
            </w:r>
          </w:p>
        </w:tc>
      </w:tr>
      <w:tr w:rsidR="00500B0A" w14:paraId="295E7913" w14:textId="77777777" w:rsidTr="00A229B8">
        <w:tc>
          <w:tcPr>
            <w:tcW w:w="704" w:type="dxa"/>
          </w:tcPr>
          <w:p w14:paraId="095FCE2A" w14:textId="67D22ED6" w:rsidR="00500B0A" w:rsidRDefault="000D20FB" w:rsidP="00500B0A">
            <w:r>
              <w:t>8</w:t>
            </w:r>
          </w:p>
          <w:p w14:paraId="02257238" w14:textId="77777777" w:rsidR="00500B0A" w:rsidRDefault="00500B0A" w:rsidP="00500B0A"/>
        </w:tc>
        <w:tc>
          <w:tcPr>
            <w:tcW w:w="6521" w:type="dxa"/>
          </w:tcPr>
          <w:p w14:paraId="719B8809" w14:textId="055BB464" w:rsidR="00500B0A" w:rsidRDefault="00500B0A" w:rsidP="00500B0A">
            <w:pPr>
              <w:spacing w:before="120" w:after="120"/>
            </w:pPr>
            <w:r w:rsidRPr="004D3BB2">
              <w:rPr>
                <w:rFonts w:ascii="Arial" w:eastAsia="Times New Roman" w:hAnsi="Arial" w:cs="Arial"/>
                <w:color w:val="000000"/>
                <w:kern w:val="0"/>
                <w:lang w:eastAsia="en-ZA"/>
                <w14:ligatures w14:val="none"/>
              </w:rPr>
              <w:t xml:space="preserve">An NHFC skills assessment report/audit is the necessary basis for a capacity needs analysis, which provides a framework for aligning capacity-building with required NHFC products and </w:t>
            </w:r>
            <w:r w:rsidRPr="004D3BB2">
              <w:rPr>
                <w:rFonts w:ascii="Arial" w:eastAsia="Times New Roman" w:hAnsi="Arial" w:cs="Arial"/>
                <w:color w:val="000000"/>
                <w:kern w:val="0"/>
                <w:lang w:eastAsia="en-ZA"/>
                <w14:ligatures w14:val="none"/>
              </w:rPr>
              <w:lastRenderedPageBreak/>
              <w:t>service offerings. Is there a current NHFC skills assessment report/audit?</w:t>
            </w:r>
          </w:p>
        </w:tc>
        <w:tc>
          <w:tcPr>
            <w:tcW w:w="7229" w:type="dxa"/>
          </w:tcPr>
          <w:p w14:paraId="76BEBC3A" w14:textId="5F0AC49D" w:rsidR="00500B0A" w:rsidRDefault="00A229B8" w:rsidP="00A229B8">
            <w:pPr>
              <w:pStyle w:val="ListParagraph"/>
              <w:numPr>
                <w:ilvl w:val="0"/>
                <w:numId w:val="4"/>
              </w:numPr>
            </w:pPr>
            <w:r w:rsidRPr="00A229B8">
              <w:rPr>
                <w:rStyle w:val="normaltextrun"/>
                <w:rFonts w:ascii="Arial" w:hAnsi="Arial" w:cs="Arial"/>
                <w:color w:val="000000"/>
                <w:shd w:val="clear" w:color="auto" w:fill="FFFFFF"/>
              </w:rPr>
              <w:lastRenderedPageBreak/>
              <w:t>Please elaborate the question more for us to gain proper understanding.  </w:t>
            </w:r>
            <w:r w:rsidRPr="00A229B8">
              <w:rPr>
                <w:rStyle w:val="eop"/>
                <w:rFonts w:ascii="Arial" w:hAnsi="Arial" w:cs="Arial"/>
                <w:color w:val="000000"/>
                <w:shd w:val="clear" w:color="auto" w:fill="FFFFFF"/>
              </w:rPr>
              <w:t> </w:t>
            </w:r>
          </w:p>
        </w:tc>
      </w:tr>
    </w:tbl>
    <w:p w14:paraId="13498FC5" w14:textId="77777777" w:rsidR="003076B6" w:rsidRDefault="003076B6"/>
    <w:sectPr w:rsidR="003076B6" w:rsidSect="00EB5D55">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1D81A" w14:textId="77777777" w:rsidR="00384F69" w:rsidRDefault="00384F69" w:rsidP="003076B6">
      <w:pPr>
        <w:spacing w:after="0" w:line="240" w:lineRule="auto"/>
      </w:pPr>
      <w:r>
        <w:separator/>
      </w:r>
    </w:p>
  </w:endnote>
  <w:endnote w:type="continuationSeparator" w:id="0">
    <w:p w14:paraId="1E1F0495" w14:textId="77777777" w:rsidR="00384F69" w:rsidRDefault="00384F69" w:rsidP="0030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912584"/>
      <w:docPartObj>
        <w:docPartGallery w:val="Page Numbers (Bottom of Page)"/>
        <w:docPartUnique/>
      </w:docPartObj>
    </w:sdtPr>
    <w:sdtEndPr/>
    <w:sdtContent>
      <w:sdt>
        <w:sdtPr>
          <w:id w:val="1728636285"/>
          <w:docPartObj>
            <w:docPartGallery w:val="Page Numbers (Top of Page)"/>
            <w:docPartUnique/>
          </w:docPartObj>
        </w:sdtPr>
        <w:sdtEndPr/>
        <w:sdtContent>
          <w:p w14:paraId="56E08309" w14:textId="04C9F5DB" w:rsidR="003076B6" w:rsidRDefault="003076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577968F" w14:textId="77777777" w:rsidR="003076B6" w:rsidRDefault="00307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C0305" w14:textId="77777777" w:rsidR="00384F69" w:rsidRDefault="00384F69" w:rsidP="003076B6">
      <w:pPr>
        <w:spacing w:after="0" w:line="240" w:lineRule="auto"/>
      </w:pPr>
      <w:r>
        <w:separator/>
      </w:r>
    </w:p>
  </w:footnote>
  <w:footnote w:type="continuationSeparator" w:id="0">
    <w:p w14:paraId="0423A60F" w14:textId="77777777" w:rsidR="00384F69" w:rsidRDefault="00384F69" w:rsidP="00307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F7254"/>
    <w:multiLevelType w:val="hybridMultilevel"/>
    <w:tmpl w:val="CC58E7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0941035"/>
    <w:multiLevelType w:val="hybridMultilevel"/>
    <w:tmpl w:val="559A5D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1140ABA"/>
    <w:multiLevelType w:val="multilevel"/>
    <w:tmpl w:val="77F8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4C21A6"/>
    <w:multiLevelType w:val="multilevel"/>
    <w:tmpl w:val="0C265F4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 w15:restartNumberingAfterBreak="0">
    <w:nsid w:val="413D1446"/>
    <w:multiLevelType w:val="hybridMultilevel"/>
    <w:tmpl w:val="62FE37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2071606">
    <w:abstractNumId w:val="1"/>
  </w:num>
  <w:num w:numId="2" w16cid:durableId="1323389961">
    <w:abstractNumId w:val="0"/>
  </w:num>
  <w:num w:numId="3" w16cid:durableId="345988941">
    <w:abstractNumId w:val="3"/>
  </w:num>
  <w:num w:numId="4" w16cid:durableId="877669953">
    <w:abstractNumId w:val="4"/>
  </w:num>
  <w:num w:numId="5" w16cid:durableId="1599216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B6"/>
    <w:rsid w:val="000D20FB"/>
    <w:rsid w:val="001037B5"/>
    <w:rsid w:val="00116F1F"/>
    <w:rsid w:val="00141962"/>
    <w:rsid w:val="001D1258"/>
    <w:rsid w:val="002300D3"/>
    <w:rsid w:val="003076B6"/>
    <w:rsid w:val="00375BD0"/>
    <w:rsid w:val="00375EF3"/>
    <w:rsid w:val="00384F69"/>
    <w:rsid w:val="003E50A5"/>
    <w:rsid w:val="00422360"/>
    <w:rsid w:val="00436E75"/>
    <w:rsid w:val="00500B0A"/>
    <w:rsid w:val="00551142"/>
    <w:rsid w:val="005A6B5A"/>
    <w:rsid w:val="005C5405"/>
    <w:rsid w:val="006F1C31"/>
    <w:rsid w:val="0086101E"/>
    <w:rsid w:val="009267F1"/>
    <w:rsid w:val="00A229B8"/>
    <w:rsid w:val="00A95808"/>
    <w:rsid w:val="00AB3D5C"/>
    <w:rsid w:val="00AD4177"/>
    <w:rsid w:val="00C206A4"/>
    <w:rsid w:val="00C625CF"/>
    <w:rsid w:val="00C71F60"/>
    <w:rsid w:val="00C742FC"/>
    <w:rsid w:val="00CB5081"/>
    <w:rsid w:val="00CC3DC7"/>
    <w:rsid w:val="00EB1098"/>
    <w:rsid w:val="00EB5CC7"/>
    <w:rsid w:val="00EB5D55"/>
    <w:rsid w:val="00EC3F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F398"/>
  <w15:chartTrackingRefBased/>
  <w15:docId w15:val="{04048EEF-6062-4BFF-BD51-CD05C5D6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7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6B6"/>
    <w:pPr>
      <w:ind w:left="720"/>
      <w:contextualSpacing/>
    </w:pPr>
  </w:style>
  <w:style w:type="paragraph" w:styleId="Header">
    <w:name w:val="header"/>
    <w:basedOn w:val="Normal"/>
    <w:link w:val="HeaderChar"/>
    <w:uiPriority w:val="99"/>
    <w:unhideWhenUsed/>
    <w:rsid w:val="00307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6B6"/>
  </w:style>
  <w:style w:type="paragraph" w:styleId="Footer">
    <w:name w:val="footer"/>
    <w:basedOn w:val="Normal"/>
    <w:link w:val="FooterChar"/>
    <w:uiPriority w:val="99"/>
    <w:unhideWhenUsed/>
    <w:rsid w:val="00307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6B6"/>
  </w:style>
  <w:style w:type="paragraph" w:customStyle="1" w:styleId="paragraph">
    <w:name w:val="paragraph"/>
    <w:basedOn w:val="Normal"/>
    <w:rsid w:val="003E50A5"/>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customStyle="1" w:styleId="eop">
    <w:name w:val="eop"/>
    <w:basedOn w:val="DefaultParagraphFont"/>
    <w:rsid w:val="003E50A5"/>
  </w:style>
  <w:style w:type="character" w:customStyle="1" w:styleId="normaltextrun">
    <w:name w:val="normaltextrun"/>
    <w:basedOn w:val="DefaultParagraphFont"/>
    <w:rsid w:val="003E5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22359">
      <w:bodyDiv w:val="1"/>
      <w:marLeft w:val="0"/>
      <w:marRight w:val="0"/>
      <w:marTop w:val="0"/>
      <w:marBottom w:val="0"/>
      <w:divBdr>
        <w:top w:val="none" w:sz="0" w:space="0" w:color="auto"/>
        <w:left w:val="none" w:sz="0" w:space="0" w:color="auto"/>
        <w:bottom w:val="none" w:sz="0" w:space="0" w:color="auto"/>
        <w:right w:val="none" w:sz="0" w:space="0" w:color="auto"/>
      </w:divBdr>
      <w:divsChild>
        <w:div w:id="1526557017">
          <w:marLeft w:val="0"/>
          <w:marRight w:val="0"/>
          <w:marTop w:val="0"/>
          <w:marBottom w:val="0"/>
          <w:divBdr>
            <w:top w:val="none" w:sz="0" w:space="0" w:color="auto"/>
            <w:left w:val="none" w:sz="0" w:space="0" w:color="auto"/>
            <w:bottom w:val="none" w:sz="0" w:space="0" w:color="auto"/>
            <w:right w:val="none" w:sz="0" w:space="0" w:color="auto"/>
          </w:divBdr>
        </w:div>
        <w:div w:id="1689985593">
          <w:marLeft w:val="0"/>
          <w:marRight w:val="0"/>
          <w:marTop w:val="0"/>
          <w:marBottom w:val="0"/>
          <w:divBdr>
            <w:top w:val="none" w:sz="0" w:space="0" w:color="auto"/>
            <w:left w:val="none" w:sz="0" w:space="0" w:color="auto"/>
            <w:bottom w:val="none" w:sz="0" w:space="0" w:color="auto"/>
            <w:right w:val="none" w:sz="0" w:space="0" w:color="auto"/>
          </w:divBdr>
        </w:div>
        <w:div w:id="1890149150">
          <w:marLeft w:val="0"/>
          <w:marRight w:val="0"/>
          <w:marTop w:val="0"/>
          <w:marBottom w:val="0"/>
          <w:divBdr>
            <w:top w:val="none" w:sz="0" w:space="0" w:color="auto"/>
            <w:left w:val="none" w:sz="0" w:space="0" w:color="auto"/>
            <w:bottom w:val="none" w:sz="0" w:space="0" w:color="auto"/>
            <w:right w:val="none" w:sz="0" w:space="0" w:color="auto"/>
          </w:divBdr>
        </w:div>
      </w:divsChild>
    </w:div>
    <w:div w:id="1768964880">
      <w:bodyDiv w:val="1"/>
      <w:marLeft w:val="0"/>
      <w:marRight w:val="0"/>
      <w:marTop w:val="0"/>
      <w:marBottom w:val="0"/>
      <w:divBdr>
        <w:top w:val="none" w:sz="0" w:space="0" w:color="auto"/>
        <w:left w:val="none" w:sz="0" w:space="0" w:color="auto"/>
        <w:bottom w:val="none" w:sz="0" w:space="0" w:color="auto"/>
        <w:right w:val="none" w:sz="0" w:space="0" w:color="auto"/>
      </w:divBdr>
      <w:divsChild>
        <w:div w:id="1415201558">
          <w:marLeft w:val="0"/>
          <w:marRight w:val="0"/>
          <w:marTop w:val="0"/>
          <w:marBottom w:val="0"/>
          <w:divBdr>
            <w:top w:val="none" w:sz="0" w:space="0" w:color="auto"/>
            <w:left w:val="none" w:sz="0" w:space="0" w:color="auto"/>
            <w:bottom w:val="none" w:sz="0" w:space="0" w:color="auto"/>
            <w:right w:val="none" w:sz="0" w:space="0" w:color="auto"/>
          </w:divBdr>
        </w:div>
        <w:div w:id="435908675">
          <w:marLeft w:val="0"/>
          <w:marRight w:val="0"/>
          <w:marTop w:val="0"/>
          <w:marBottom w:val="0"/>
          <w:divBdr>
            <w:top w:val="none" w:sz="0" w:space="0" w:color="auto"/>
            <w:left w:val="none" w:sz="0" w:space="0" w:color="auto"/>
            <w:bottom w:val="none" w:sz="0" w:space="0" w:color="auto"/>
            <w:right w:val="none" w:sz="0" w:space="0" w:color="auto"/>
          </w:divBdr>
        </w:div>
        <w:div w:id="1644701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536</Words>
  <Characters>3059</Characters>
  <Application>Microsoft Office Word</Application>
  <DocSecurity>4</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Khanye</dc:creator>
  <cp:keywords/>
  <dc:description/>
  <cp:lastModifiedBy>Khomotjo Kaaka</cp:lastModifiedBy>
  <cp:revision>2</cp:revision>
  <dcterms:created xsi:type="dcterms:W3CDTF">2024-02-08T11:00:00Z</dcterms:created>
  <dcterms:modified xsi:type="dcterms:W3CDTF">2024-02-08T11:00:00Z</dcterms:modified>
</cp:coreProperties>
</file>